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82D58" w14:textId="77777777"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 xml:space="preserve">Список вопросов к </w:t>
      </w:r>
      <w:r w:rsidR="00201A61" w:rsidRPr="00201A61">
        <w:rPr>
          <w:szCs w:val="26"/>
        </w:rPr>
        <w:t>экзамену</w:t>
      </w:r>
      <w:r w:rsidRPr="00201A61">
        <w:rPr>
          <w:szCs w:val="26"/>
        </w:rPr>
        <w:t xml:space="preserve"> по дисциплине</w:t>
      </w:r>
    </w:p>
    <w:p w14:paraId="08405D57" w14:textId="77777777" w:rsidR="00C037CB" w:rsidRPr="00201A61" w:rsidRDefault="00C037CB" w:rsidP="00C037CB">
      <w:pPr>
        <w:pStyle w:val="a4"/>
        <w:ind w:firstLine="0"/>
        <w:rPr>
          <w:szCs w:val="26"/>
        </w:rPr>
      </w:pPr>
      <w:r w:rsidRPr="00201A61">
        <w:rPr>
          <w:szCs w:val="26"/>
        </w:rPr>
        <w:t>«</w:t>
      </w:r>
      <w:r w:rsidR="00201A61" w:rsidRPr="00201A61">
        <w:rPr>
          <w:szCs w:val="26"/>
        </w:rPr>
        <w:t>Основы социально-экономического прогнозирования</w:t>
      </w:r>
      <w:r w:rsidRPr="00201A61">
        <w:rPr>
          <w:szCs w:val="26"/>
        </w:rPr>
        <w:t>»</w:t>
      </w:r>
    </w:p>
    <w:p w14:paraId="28499A50" w14:textId="77777777" w:rsidR="00C037CB" w:rsidRPr="00201A61" w:rsidRDefault="00C037CB" w:rsidP="00C037CB">
      <w:pPr>
        <w:pStyle w:val="a4"/>
        <w:ind w:firstLine="0"/>
        <w:rPr>
          <w:szCs w:val="26"/>
        </w:rPr>
      </w:pPr>
    </w:p>
    <w:p w14:paraId="2AB1C262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1. Сущность прогнозирования и виды прогнозов</w:t>
      </w:r>
    </w:p>
    <w:p w14:paraId="007B02D8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2. Эшелоны прогнозирования и оценка приемлемой глубины прогноза</w:t>
      </w:r>
    </w:p>
    <w:p w14:paraId="0A28D8C3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3. Методы прогнозирования</w:t>
      </w:r>
    </w:p>
    <w:p w14:paraId="5C105E79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4. Комплексные системы прогнозирования</w:t>
      </w:r>
    </w:p>
    <w:p w14:paraId="7B051EAF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5. Системный подход к анализу и синтезу объектов исследования в процессе прогнозирования</w:t>
      </w:r>
    </w:p>
    <w:p w14:paraId="0E77161D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6. Цели и критерии предпочтения создания и анализа систем прогнозирования</w:t>
      </w:r>
    </w:p>
    <w:p w14:paraId="099817CD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7. Применение системного подхода к решению поисковых задач</w:t>
      </w:r>
    </w:p>
    <w:p w14:paraId="2AD5CEF8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8. Объекты социально-экономического прогнозирования.</w:t>
      </w:r>
    </w:p>
    <w:p w14:paraId="6771BC1C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9. Экономический рост</w:t>
      </w:r>
    </w:p>
    <w:p w14:paraId="114A6AF9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10. Макроэкономические цели, показатели и счета. Методы их прогнозирования</w:t>
      </w:r>
    </w:p>
    <w:p w14:paraId="6EF67C0A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11. Основные счета системы национальных счетов как объекты социально-экономического прогнозирования</w:t>
      </w:r>
    </w:p>
    <w:p w14:paraId="01018492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12. Структура экономики. Межотраслевой баланс в прогнозировании развития экономики</w:t>
      </w:r>
    </w:p>
    <w:p w14:paraId="32478F1C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13. Прогнозирование научно-технического прогресса</w:t>
      </w:r>
    </w:p>
    <w:p w14:paraId="7E49F63E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14. Методы научно-технического прогнозирования</w:t>
      </w:r>
    </w:p>
    <w:p w14:paraId="7678A264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15. Прогнозирование интеграции производства развития межотраслевых комплексов</w:t>
      </w:r>
    </w:p>
    <w:p w14:paraId="0CFAD449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16. Метод прогнозирования на основе построения линии жизненного цикла социально-</w:t>
      </w:r>
      <w:proofErr w:type="gramStart"/>
      <w:r w:rsidRPr="00201A61">
        <w:rPr>
          <w:color w:val="000000"/>
        </w:rPr>
        <w:t>экономических  систем</w:t>
      </w:r>
      <w:proofErr w:type="gramEnd"/>
    </w:p>
    <w:p w14:paraId="0DAEB509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17. Прогнозирование на основе построения огибающих кривых</w:t>
      </w:r>
    </w:p>
    <w:p w14:paraId="0263DCCF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18. Экспертные оценки неформализованных проблем социально-экономического развития экономических агентов и рынков</w:t>
      </w:r>
    </w:p>
    <w:p w14:paraId="4C1AB010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19. Сущность и виды цен. Тенденции поведения цен в условиях глобализации</w:t>
      </w:r>
    </w:p>
    <w:p w14:paraId="36E13EDD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20. Модели прогнозирования цен</w:t>
      </w:r>
    </w:p>
    <w:p w14:paraId="7A358816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21. Зарубежный опыт прогнозирования и государственного регулирования цен</w:t>
      </w:r>
    </w:p>
    <w:p w14:paraId="72B2B218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22. Факторы и показатели уровня жизни населения как объекты социально-экономического прогнозирования</w:t>
      </w:r>
    </w:p>
    <w:p w14:paraId="4C673788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23. Баланс денежных доходов и расходов населения как объект социально-экономического прогнозирования</w:t>
      </w:r>
    </w:p>
    <w:p w14:paraId="2ECA3D24" w14:textId="77777777" w:rsidR="00201A61" w:rsidRPr="00201A61" w:rsidRDefault="00201A61" w:rsidP="00201A61">
      <w:pPr>
        <w:spacing w:after="0" w:line="240" w:lineRule="auto"/>
        <w:ind w:firstLine="851"/>
        <w:jc w:val="both"/>
      </w:pPr>
      <w:r w:rsidRPr="00201A61">
        <w:rPr>
          <w:color w:val="000000"/>
        </w:rPr>
        <w:t>24. Социальные нормативы и минимальный потребительский бюджет как объекты социально-экономического прогнозирования</w:t>
      </w:r>
    </w:p>
    <w:p w14:paraId="1F9854AA" w14:textId="77777777" w:rsidR="00DC3C80" w:rsidRPr="00201A61" w:rsidRDefault="00201A61" w:rsidP="00201A61">
      <w:pPr>
        <w:ind w:firstLine="851"/>
        <w:jc w:val="both"/>
      </w:pPr>
      <w:r w:rsidRPr="00201A61">
        <w:rPr>
          <w:color w:val="000000"/>
        </w:rPr>
        <w:t>25. Индекс развития человеческого потенциала как интегральный показатель уровня жизни населения, подходы к его прогнозированию</w:t>
      </w:r>
    </w:p>
    <w:sectPr w:rsidR="00DC3C80" w:rsidRPr="00201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692BEA"/>
    <w:multiLevelType w:val="hybridMultilevel"/>
    <w:tmpl w:val="274C07C0"/>
    <w:lvl w:ilvl="0" w:tplc="E196B3E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CB"/>
    <w:rsid w:val="00201A61"/>
    <w:rsid w:val="003348FB"/>
    <w:rsid w:val="005C40AC"/>
    <w:rsid w:val="00931F35"/>
    <w:rsid w:val="00A96168"/>
    <w:rsid w:val="00C037CB"/>
    <w:rsid w:val="00CA1C7F"/>
    <w:rsid w:val="00CC5DD3"/>
    <w:rsid w:val="00DC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557D"/>
  <w15:chartTrackingRefBased/>
  <w15:docId w15:val="{21923D27-6F59-4D55-B3BC-2FEC7F47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paragraph" w:styleId="a4">
    <w:name w:val="Body Text Indent"/>
    <w:basedOn w:val="a"/>
    <w:link w:val="a5"/>
    <w:rsid w:val="00C037CB"/>
    <w:pPr>
      <w:spacing w:after="0" w:line="240" w:lineRule="auto"/>
      <w:ind w:firstLine="567"/>
      <w:jc w:val="center"/>
    </w:pPr>
    <w:rPr>
      <w:rFonts w:eastAsia="Times New Roman"/>
      <w:b/>
      <w:bCs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037CB"/>
    <w:rPr>
      <w:rFonts w:eastAsia="Times New Roman"/>
      <w:b/>
      <w:bCs/>
      <w:lang w:eastAsia="ru-RU"/>
    </w:rPr>
  </w:style>
  <w:style w:type="paragraph" w:styleId="a6">
    <w:name w:val="List Paragraph"/>
    <w:basedOn w:val="a"/>
    <w:uiPriority w:val="34"/>
    <w:qFormat/>
    <w:rsid w:val="00C037CB"/>
    <w:pPr>
      <w:spacing w:after="0" w:line="240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Гапоненко</cp:lastModifiedBy>
  <cp:revision>2</cp:revision>
  <dcterms:created xsi:type="dcterms:W3CDTF">2021-02-05T10:19:00Z</dcterms:created>
  <dcterms:modified xsi:type="dcterms:W3CDTF">2021-02-05T10:19:00Z</dcterms:modified>
</cp:coreProperties>
</file>